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F26" w:rsidRDefault="006B5F26" w:rsidP="006B5F26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Name _______________________________________</w:t>
      </w:r>
    </w:p>
    <w:p w:rsidR="006B5F26" w:rsidRDefault="006B5F26" w:rsidP="006B5F26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</w:p>
    <w:p w:rsidR="006B5F26" w:rsidRDefault="006B5F26" w:rsidP="006B5F26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</w:p>
    <w:p w:rsidR="00764985" w:rsidRPr="006B5F26" w:rsidRDefault="00ED773A" w:rsidP="006B5F2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 w:rsidRPr="006B5F26">
        <w:rPr>
          <w:rFonts w:ascii="CenturyOldStyleStd-Regular" w:hAnsi="CenturyOldStyleStd-Regular" w:cs="CenturyOldStyleStd-Regular"/>
          <w:sz w:val="21"/>
          <w:szCs w:val="21"/>
        </w:rPr>
        <w:t>There were times when her notes, sifting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through her floor and my ceiling, bouncing down the walls and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ricocheting off the building in the rear, whistled like </w:t>
      </w:r>
      <w:proofErr w:type="spellStart"/>
      <w:r w:rsidRPr="006B5F26">
        <w:rPr>
          <w:rFonts w:ascii="CenturyOldStyleStd-Regular" w:hAnsi="CenturyOldStyleStd-Regular" w:cs="CenturyOldStyleStd-Regular"/>
          <w:sz w:val="21"/>
          <w:szCs w:val="21"/>
        </w:rPr>
        <w:t>tenpenny</w:t>
      </w:r>
      <w:proofErr w:type="spellEnd"/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nails, buzzed like a saw, wheezed like the asthma of Hercules,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trumpeted like an enraged African elephant—and the squeaky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pedal of her piano rested plumb center above my typing chair.</w:t>
      </w:r>
    </w:p>
    <w:p w:rsidR="006B5F26" w:rsidRDefault="006B5F26" w:rsidP="006B5F26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</w:p>
    <w:p w:rsidR="006B5F26" w:rsidRDefault="006B5F26" w:rsidP="006B5F26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</w:p>
    <w:p w:rsidR="00ED773A" w:rsidRPr="006B5F26" w:rsidRDefault="00ED773A" w:rsidP="006B5F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B5F26">
        <w:rPr>
          <w:rFonts w:ascii="CenturyOldStyleStd-Regular" w:hAnsi="CenturyOldStyleStd-Regular" w:cs="CenturyOldStyleStd-Regular"/>
          <w:sz w:val="21"/>
          <w:szCs w:val="21"/>
        </w:rPr>
        <w:t>In the sentence beginning “There were times’’ (lines 58–63), the speaker employs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all of the following </w:t>
      </w:r>
      <w:r w:rsidRPr="006B5F26">
        <w:rPr>
          <w:rFonts w:ascii="Arial" w:hAnsi="Arial" w:cs="Arial"/>
          <w:sz w:val="24"/>
          <w:szCs w:val="24"/>
        </w:rPr>
        <w:t>except</w:t>
      </w:r>
    </w:p>
    <w:p w:rsidR="006B5F26" w:rsidRDefault="006B5F26" w:rsidP="00ED773A">
      <w:pPr>
        <w:autoSpaceDE w:val="0"/>
        <w:autoSpaceDN w:val="0"/>
        <w:adjustRightInd w:val="0"/>
        <w:spacing w:after="0" w:line="240" w:lineRule="auto"/>
        <w:rPr>
          <w:rFonts w:ascii="CenturyOldStyleStd-Regular-SC70" w:hAnsi="CenturyOldStyleStd-Regular-SC70" w:cs="CenturyOldStyleStd-Regular-SC70"/>
          <w:sz w:val="15"/>
          <w:szCs w:val="15"/>
        </w:rPr>
      </w:pP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a</w:t>
      </w:r>
      <w:r>
        <w:rPr>
          <w:rFonts w:ascii="CenturyOldStyleStd-Regular" w:hAnsi="CenturyOldStyleStd-Regular" w:cs="CenturyOldStyleStd-Regular"/>
          <w:sz w:val="21"/>
          <w:szCs w:val="21"/>
        </w:rPr>
        <w:t xml:space="preserve">) </w:t>
      </w:r>
      <w:proofErr w:type="gramStart"/>
      <w:r>
        <w:rPr>
          <w:rFonts w:ascii="CenturyOldStyleStd-Regular" w:hAnsi="CenturyOldStyleStd-Regular" w:cs="CenturyOldStyleStd-Regular"/>
          <w:sz w:val="21"/>
          <w:szCs w:val="21"/>
        </w:rPr>
        <w:t>concrete</w:t>
      </w:r>
      <w:proofErr w:type="gramEnd"/>
      <w:r>
        <w:rPr>
          <w:rFonts w:ascii="CenturyOldStyleStd-Regular" w:hAnsi="CenturyOldStyleStd-Regular" w:cs="CenturyOldStyleStd-Regular"/>
          <w:sz w:val="21"/>
          <w:szCs w:val="21"/>
        </w:rPr>
        <w:t xml:space="preserve"> diction</w:t>
      </w: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b</w:t>
      </w:r>
      <w:r>
        <w:rPr>
          <w:rFonts w:ascii="CenturyOldStyleStd-Regular" w:hAnsi="CenturyOldStyleStd-Regular" w:cs="CenturyOldStyleStd-Regular"/>
          <w:sz w:val="21"/>
          <w:szCs w:val="21"/>
        </w:rPr>
        <w:t xml:space="preserve">) </w:t>
      </w:r>
      <w:proofErr w:type="gramStart"/>
      <w:r>
        <w:rPr>
          <w:rFonts w:ascii="CenturyOldStyleStd-Regular" w:hAnsi="CenturyOldStyleStd-Regular" w:cs="CenturyOldStyleStd-Regular"/>
          <w:sz w:val="21"/>
          <w:szCs w:val="21"/>
        </w:rPr>
        <w:t>parallel</w:t>
      </w:r>
      <w:proofErr w:type="gramEnd"/>
      <w:r>
        <w:rPr>
          <w:rFonts w:ascii="CenturyOldStyleStd-Regular" w:hAnsi="CenturyOldStyleStd-Regular" w:cs="CenturyOldStyleStd-Regular"/>
          <w:sz w:val="21"/>
          <w:szCs w:val="21"/>
        </w:rPr>
        <w:t xml:space="preserve"> syntax</w:t>
      </w: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c</w:t>
      </w:r>
      <w:r>
        <w:rPr>
          <w:rFonts w:ascii="CenturyOldStyleStd-Regular" w:hAnsi="CenturyOldStyleStd-Regular" w:cs="CenturyOldStyleStd-Regular"/>
          <w:sz w:val="21"/>
          <w:szCs w:val="21"/>
        </w:rPr>
        <w:t xml:space="preserve">) </w:t>
      </w:r>
      <w:proofErr w:type="gramStart"/>
      <w:r>
        <w:rPr>
          <w:rFonts w:ascii="CenturyOldStyleStd-Regular" w:hAnsi="CenturyOldStyleStd-Regular" w:cs="CenturyOldStyleStd-Regular"/>
          <w:sz w:val="21"/>
          <w:szCs w:val="21"/>
        </w:rPr>
        <w:t>simile</w:t>
      </w:r>
      <w:proofErr w:type="gramEnd"/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d</w:t>
      </w:r>
      <w:r>
        <w:rPr>
          <w:rFonts w:ascii="CenturyOldStyleStd-Regular" w:hAnsi="CenturyOldStyleStd-Regular" w:cs="CenturyOldStyleStd-Regular"/>
          <w:sz w:val="21"/>
          <w:szCs w:val="21"/>
        </w:rPr>
        <w:t xml:space="preserve">) </w:t>
      </w:r>
      <w:proofErr w:type="gramStart"/>
      <w:r>
        <w:rPr>
          <w:rFonts w:ascii="CenturyOldStyleStd-Regular" w:hAnsi="CenturyOldStyleStd-Regular" w:cs="CenturyOldStyleStd-Regular"/>
          <w:sz w:val="21"/>
          <w:szCs w:val="21"/>
        </w:rPr>
        <w:t>understatement</w:t>
      </w:r>
      <w:proofErr w:type="gramEnd"/>
    </w:p>
    <w:p w:rsidR="00ED773A" w:rsidRDefault="00ED773A" w:rsidP="00ED773A">
      <w:pPr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e</w:t>
      </w:r>
      <w:r>
        <w:rPr>
          <w:rFonts w:ascii="CenturyOldStyleStd-Regular" w:hAnsi="CenturyOldStyleStd-Regular" w:cs="CenturyOldStyleStd-Regular"/>
          <w:sz w:val="21"/>
          <w:szCs w:val="21"/>
        </w:rPr>
        <w:t xml:space="preserve">) </w:t>
      </w:r>
      <w:proofErr w:type="gramStart"/>
      <w:r>
        <w:rPr>
          <w:rFonts w:ascii="CenturyOldStyleStd-Regular" w:hAnsi="CenturyOldStyleStd-Regular" w:cs="CenturyOldStyleStd-Regular"/>
          <w:sz w:val="21"/>
          <w:szCs w:val="21"/>
        </w:rPr>
        <w:t>onomatopoeia</w:t>
      </w:r>
      <w:proofErr w:type="gramEnd"/>
    </w:p>
    <w:p w:rsidR="00ED773A" w:rsidRDefault="00ED773A" w:rsidP="00ED773A">
      <w:pPr>
        <w:rPr>
          <w:rFonts w:ascii="CenturyOldStyleStd-Regular" w:hAnsi="CenturyOldStyleStd-Regular" w:cs="CenturyOldStyleStd-Regular"/>
          <w:sz w:val="21"/>
          <w:szCs w:val="21"/>
        </w:rPr>
      </w:pPr>
    </w:p>
    <w:p w:rsidR="00ED773A" w:rsidRPr="006B5F26" w:rsidRDefault="00ED773A" w:rsidP="006B5F2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 w:rsidRPr="006B5F26">
        <w:rPr>
          <w:rFonts w:ascii="CenturyOldStyleStd-Regular" w:hAnsi="CenturyOldStyleStd-Regular" w:cs="CenturyOldStyleStd-Regular"/>
          <w:sz w:val="21"/>
          <w:szCs w:val="21"/>
        </w:rPr>
        <w:t>From the time of Marco Polo to the eighteenth century, visiting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Westerners, amazed and admiring, were inclined to take China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at her own valuation. Her recorded history began in the third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millennium </w:t>
      </w:r>
      <w:proofErr w:type="spellStart"/>
      <w:proofErr w:type="gramStart"/>
      <w:r w:rsidRPr="006B5F26">
        <w:rPr>
          <w:rFonts w:ascii="CenturyOldStyleStd-Regular-SC70" w:hAnsi="CenturyOldStyleStd-Regular-SC70" w:cs="CenturyOldStyleStd-Regular-SC70"/>
          <w:sz w:val="15"/>
          <w:szCs w:val="15"/>
        </w:rPr>
        <w:t>b</w:t>
      </w:r>
      <w:r w:rsidRPr="006B5F26">
        <w:rPr>
          <w:rFonts w:ascii="CenturyOldStyleStd-Regular-SC70" w:hAnsi="CenturyOldStyleStd-Regular-SC70" w:cs="CenturyOldStyleStd-Regular-SC70"/>
          <w:sz w:val="21"/>
          <w:szCs w:val="21"/>
        </w:rPr>
        <w:t>.</w:t>
      </w:r>
      <w:r w:rsidRPr="006B5F26">
        <w:rPr>
          <w:rFonts w:ascii="CenturyOldStyleStd-Regular-SC70" w:hAnsi="CenturyOldStyleStd-Regular-SC70" w:cs="CenturyOldStyleStd-Regular-SC70"/>
          <w:sz w:val="15"/>
          <w:szCs w:val="15"/>
        </w:rPr>
        <w:t>c</w:t>
      </w:r>
      <w:proofErr w:type="spellEnd"/>
      <w:proofErr w:type="gramEnd"/>
      <w:r w:rsidRPr="006B5F26">
        <w:rPr>
          <w:rFonts w:ascii="CenturyOldStyleStd-Regular-SC70" w:hAnsi="CenturyOldStyleStd-Regular-SC70" w:cs="CenturyOldStyleStd-Regular-SC70"/>
          <w:sz w:val="21"/>
          <w:szCs w:val="21"/>
        </w:rPr>
        <w:t>.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, her bronzes were as old as the pyramids, her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classical age was contemporary with that of Greece, her Confucian canon of ethics predated the New Testament if not the Old.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She was the inventor of paper, porcelain, silk, gunpowder, the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clock and movable type, the builder of the Great Wall, one of the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wonders of the world, the creator of fabrics and ceramics of exquisite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beauty and of an art of painting that was sophisticated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and expressive when Europe’s was still primitive and flat . . . .</w:t>
      </w:r>
    </w:p>
    <w:p w:rsidR="006B5F26" w:rsidRDefault="006B5F26" w:rsidP="006B5F26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</w:p>
    <w:p w:rsidR="006B5F26" w:rsidRDefault="006B5F26" w:rsidP="006B5F26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In the last sentence of paragraph 2 (lines 18–22), which of the following</w:t>
      </w:r>
      <w:r w:rsid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>
        <w:rPr>
          <w:rFonts w:ascii="CenturyOldStyleStd-Regular" w:hAnsi="CenturyOldStyleStd-Regular" w:cs="CenturyOldStyleStd-Regular"/>
          <w:sz w:val="21"/>
          <w:szCs w:val="21"/>
        </w:rPr>
        <w:t>words is</w:t>
      </w:r>
      <w:r w:rsid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>
        <w:rPr>
          <w:rFonts w:ascii="CenturyOldStyleStd-Regular" w:hAnsi="CenturyOldStyleStd-Regular" w:cs="CenturyOldStyleStd-Regular"/>
          <w:sz w:val="21"/>
          <w:szCs w:val="21"/>
        </w:rPr>
        <w:t>parallel in function to “inventor’’ (line 18)?</w:t>
      </w:r>
    </w:p>
    <w:p w:rsidR="006B5F26" w:rsidRDefault="006B5F26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a</w:t>
      </w:r>
      <w:r>
        <w:rPr>
          <w:rFonts w:ascii="CenturyOldStyleStd-Regular" w:hAnsi="CenturyOldStyleStd-Regular" w:cs="CenturyOldStyleStd-Regular"/>
          <w:sz w:val="21"/>
          <w:szCs w:val="21"/>
        </w:rPr>
        <w:t>) “clock’’ (line 19)</w:t>
      </w: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b</w:t>
      </w:r>
      <w:r>
        <w:rPr>
          <w:rFonts w:ascii="CenturyOldStyleStd-Regular" w:hAnsi="CenturyOldStyleStd-Regular" w:cs="CenturyOldStyleStd-Regular"/>
          <w:sz w:val="21"/>
          <w:szCs w:val="21"/>
        </w:rPr>
        <w:t>) “one’’ (line 19)</w:t>
      </w: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c</w:t>
      </w:r>
      <w:r>
        <w:rPr>
          <w:rFonts w:ascii="CenturyOldStyleStd-Regular" w:hAnsi="CenturyOldStyleStd-Regular" w:cs="CenturyOldStyleStd-Regular"/>
          <w:sz w:val="21"/>
          <w:szCs w:val="21"/>
        </w:rPr>
        <w:t>) “</w:t>
      </w:r>
      <w:proofErr w:type="gramStart"/>
      <w:r>
        <w:rPr>
          <w:rFonts w:ascii="CenturyOldStyleStd-Regular" w:hAnsi="CenturyOldStyleStd-Regular" w:cs="CenturyOldStyleStd-Regular"/>
          <w:sz w:val="21"/>
          <w:szCs w:val="21"/>
        </w:rPr>
        <w:t>creator</w:t>
      </w:r>
      <w:proofErr w:type="gramEnd"/>
      <w:r>
        <w:rPr>
          <w:rFonts w:ascii="CenturyOldStyleStd-Regular" w:hAnsi="CenturyOldStyleStd-Regular" w:cs="CenturyOldStyleStd-Regular"/>
          <w:sz w:val="21"/>
          <w:szCs w:val="21"/>
        </w:rPr>
        <w:t>’’ (line 20)</w:t>
      </w: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d</w:t>
      </w:r>
      <w:r>
        <w:rPr>
          <w:rFonts w:ascii="CenturyOldStyleStd-Regular" w:hAnsi="CenturyOldStyleStd-Regular" w:cs="CenturyOldStyleStd-Regular"/>
          <w:sz w:val="21"/>
          <w:szCs w:val="21"/>
        </w:rPr>
        <w:t>) “</w:t>
      </w:r>
      <w:proofErr w:type="gramStart"/>
      <w:r>
        <w:rPr>
          <w:rFonts w:ascii="CenturyOldStyleStd-Regular" w:hAnsi="CenturyOldStyleStd-Regular" w:cs="CenturyOldStyleStd-Regular"/>
          <w:sz w:val="21"/>
          <w:szCs w:val="21"/>
        </w:rPr>
        <w:t>art</w:t>
      </w:r>
      <w:proofErr w:type="gramEnd"/>
      <w:r>
        <w:rPr>
          <w:rFonts w:ascii="CenturyOldStyleStd-Regular" w:hAnsi="CenturyOldStyleStd-Regular" w:cs="CenturyOldStyleStd-Regular"/>
          <w:sz w:val="21"/>
          <w:szCs w:val="21"/>
        </w:rPr>
        <w:t>’’ (line 21)</w:t>
      </w:r>
    </w:p>
    <w:p w:rsidR="00ED773A" w:rsidRDefault="00ED773A" w:rsidP="00ED773A">
      <w:pPr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e</w:t>
      </w:r>
      <w:r>
        <w:rPr>
          <w:rFonts w:ascii="CenturyOldStyleStd-Regular" w:hAnsi="CenturyOldStyleStd-Regular" w:cs="CenturyOldStyleStd-Regular"/>
          <w:sz w:val="21"/>
          <w:szCs w:val="21"/>
        </w:rPr>
        <w:t>) “Europe’s’’ (line 22)</w:t>
      </w:r>
    </w:p>
    <w:p w:rsidR="006B5F26" w:rsidRDefault="006B5F26" w:rsidP="00ED773A">
      <w:pPr>
        <w:rPr>
          <w:rFonts w:ascii="CenturyOldStyleStd-Regular" w:hAnsi="CenturyOldStyleStd-Regular" w:cs="CenturyOldStyleStd-Regular"/>
          <w:sz w:val="21"/>
          <w:szCs w:val="21"/>
        </w:rPr>
      </w:pPr>
    </w:p>
    <w:p w:rsidR="00ED773A" w:rsidRPr="006B5F26" w:rsidRDefault="00ED773A" w:rsidP="006B5F2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0"/>
          <w:szCs w:val="20"/>
        </w:rPr>
      </w:pPr>
      <w:r w:rsidRPr="006B5F26">
        <w:rPr>
          <w:rFonts w:ascii="CenturyOldStyleStd-Regular" w:hAnsi="CenturyOldStyleStd-Regular" w:cs="CenturyOldStyleStd-Regular"/>
          <w:sz w:val="21"/>
          <w:szCs w:val="21"/>
        </w:rPr>
        <w:t>A major attraction at the Paris Exposition of 1867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was the locomotive </w:t>
      </w:r>
      <w:r w:rsidRPr="006B5F26">
        <w:rPr>
          <w:rFonts w:ascii="CenturyOldStyleStd-Italic" w:hAnsi="CenturyOldStyleStd-Italic" w:cs="CenturyOldStyleStd-Italic"/>
          <w:i/>
          <w:iCs/>
          <w:sz w:val="21"/>
          <w:szCs w:val="21"/>
        </w:rPr>
        <w:t xml:space="preserve">America.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Its cab was crafted of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ash, maple, black walnut, mahogany, and cherry. Its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boiler, smokestack, valve boxes, and cylinders were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covered with a glistening silvery material. The tender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was decorated with the arms of the Republic, a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portrait of Ulysses S. Grant, and a number of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elaborate scrolls. Other machinery of the day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exhibited similar characteristics. Steam engines were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built in “Greek revival” style, featuring fluted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columns and decorated pedestals. On a printing press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called </w:t>
      </w:r>
      <w:r w:rsidRPr="006B5F26">
        <w:rPr>
          <w:rFonts w:ascii="CenturyOldStyleStd-Italic" w:hAnsi="CenturyOldStyleStd-Italic" w:cs="CenturyOldStyleStd-Italic"/>
          <w:i/>
          <w:iCs/>
          <w:sz w:val="21"/>
          <w:szCs w:val="21"/>
        </w:rPr>
        <w:t xml:space="preserve">The Columbian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each pillar was a caduceus—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the serpent-entwined staff of the universal messenger,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Hermes—and atop the machine perched an eagle with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extended wings, grasping in its talons Jove’s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thunderbolts, an olive branch of peace, and a</w:t>
      </w:r>
      <w:r w:rsidR="006B5F26" w:rsidRP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 w:rsidRPr="006B5F26">
        <w:rPr>
          <w:rFonts w:ascii="CenturyOldStyleStd-Regular" w:hAnsi="CenturyOldStyleStd-Regular" w:cs="CenturyOldStyleStd-Regular"/>
          <w:sz w:val="21"/>
          <w:szCs w:val="21"/>
        </w:rPr>
        <w:t>cornucopia of plenty, all bronzed and gilt.</w:t>
      </w:r>
      <w:r w:rsidRPr="006B5F26">
        <w:rPr>
          <w:rFonts w:ascii="CenturyOldStyleStd-Regular" w:hAnsi="CenturyOldStyleStd-Regular" w:cs="CenturyOldStyleStd-Regular"/>
          <w:sz w:val="20"/>
          <w:szCs w:val="20"/>
        </w:rPr>
        <w:t>¹</w:t>
      </w:r>
    </w:p>
    <w:p w:rsidR="006B5F26" w:rsidRDefault="006B5F26" w:rsidP="006B5F26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0"/>
          <w:szCs w:val="20"/>
        </w:rPr>
      </w:pPr>
    </w:p>
    <w:p w:rsidR="006B5F26" w:rsidRDefault="006B5F26" w:rsidP="006B5F26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0"/>
          <w:szCs w:val="20"/>
        </w:rPr>
      </w:pP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In context, which of the following ch</w:t>
      </w:r>
      <w:r w:rsidR="006B5F26">
        <w:rPr>
          <w:rFonts w:ascii="CenturyOldStyleStd-Regular" w:hAnsi="CenturyOldStyleStd-Regular" w:cs="CenturyOldStyleStd-Regular"/>
          <w:sz w:val="21"/>
          <w:szCs w:val="21"/>
        </w:rPr>
        <w:t>anges to the sentence</w:t>
      </w:r>
      <w:r>
        <w:rPr>
          <w:rFonts w:ascii="CenturyOldStyleStd-Regular" w:hAnsi="CenturyOldStyleStd-Regular" w:cs="CenturyOldStyleStd-Regular"/>
          <w:sz w:val="21"/>
          <w:szCs w:val="21"/>
        </w:rPr>
        <w:t>,</w:t>
      </w:r>
      <w:r w:rsidR="006B5F26">
        <w:rPr>
          <w:rFonts w:ascii="CenturyOldStyleStd-Regular" w:hAnsi="CenturyOldStyleStd-Regular" w:cs="CenturyOldStyleStd-Regular"/>
          <w:sz w:val="21"/>
          <w:szCs w:val="21"/>
        </w:rPr>
        <w:t xml:space="preserve"> </w:t>
      </w:r>
      <w:r>
        <w:rPr>
          <w:rFonts w:ascii="CenturyOldStyleStd-Regular" w:hAnsi="CenturyOldStyleStd-Regular" w:cs="CenturyOldStyleStd-Regular"/>
          <w:sz w:val="21"/>
          <w:szCs w:val="21"/>
        </w:rPr>
        <w:t>reproduced below, would make it more parallel to the preceding sentences?</w:t>
      </w:r>
    </w:p>
    <w:p w:rsidR="006B5F26" w:rsidRDefault="006B5F26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Italic" w:hAnsi="CenturyOldStyleStd-Italic" w:cs="CenturyOldStyleStd-Italic"/>
          <w:i/>
          <w:iCs/>
          <w:sz w:val="21"/>
          <w:szCs w:val="21"/>
        </w:rPr>
      </w:pPr>
      <w:r>
        <w:rPr>
          <w:rFonts w:ascii="CenturyOldStyleStd-Italic" w:hAnsi="CenturyOldStyleStd-Italic" w:cs="CenturyOldStyleStd-Italic"/>
          <w:i/>
          <w:iCs/>
          <w:sz w:val="21"/>
          <w:szCs w:val="21"/>
        </w:rPr>
        <w:t>The tender was decorated with the arms of the Republic, a portrait of Ulysses S.</w:t>
      </w:r>
      <w:r w:rsidR="006B5F26">
        <w:rPr>
          <w:rFonts w:ascii="CenturyOldStyleStd-Italic" w:hAnsi="CenturyOldStyleStd-Italic" w:cs="CenturyOldStyleStd-Italic"/>
          <w:i/>
          <w:iCs/>
          <w:sz w:val="21"/>
          <w:szCs w:val="21"/>
        </w:rPr>
        <w:t xml:space="preserve"> </w:t>
      </w:r>
      <w:r>
        <w:rPr>
          <w:rFonts w:ascii="CenturyOldStyleStd-Italic" w:hAnsi="CenturyOldStyleStd-Italic" w:cs="CenturyOldStyleStd-Italic"/>
          <w:i/>
          <w:iCs/>
          <w:sz w:val="21"/>
          <w:szCs w:val="21"/>
        </w:rPr>
        <w:t>Grant, and a number of elaborate scrolls.</w:t>
      </w:r>
    </w:p>
    <w:p w:rsidR="006B5F26" w:rsidRDefault="006B5F26" w:rsidP="00ED773A">
      <w:pPr>
        <w:autoSpaceDE w:val="0"/>
        <w:autoSpaceDN w:val="0"/>
        <w:adjustRightInd w:val="0"/>
        <w:spacing w:after="0" w:line="240" w:lineRule="auto"/>
        <w:rPr>
          <w:rFonts w:ascii="CenturyOldStyleStd-Italic" w:hAnsi="CenturyOldStyleStd-Italic" w:cs="CenturyOldStyleStd-Italic"/>
          <w:i/>
          <w:iCs/>
          <w:sz w:val="21"/>
          <w:szCs w:val="21"/>
        </w:rPr>
      </w:pP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a</w:t>
      </w:r>
      <w:r>
        <w:rPr>
          <w:rFonts w:ascii="CenturyOldStyleStd-Regular" w:hAnsi="CenturyOldStyleStd-Regular" w:cs="CenturyOldStyleStd-Regular"/>
          <w:sz w:val="21"/>
          <w:szCs w:val="21"/>
        </w:rPr>
        <w:t>) Change “The tender” to “Its tender”</w:t>
      </w: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b</w:t>
      </w:r>
      <w:r>
        <w:rPr>
          <w:rFonts w:ascii="CenturyOldStyleStd-Regular" w:hAnsi="CenturyOldStyleStd-Regular" w:cs="CenturyOldStyleStd-Regular"/>
          <w:sz w:val="21"/>
          <w:szCs w:val="21"/>
        </w:rPr>
        <w:t>) Begin with “And thus”</w:t>
      </w: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c</w:t>
      </w:r>
      <w:r>
        <w:rPr>
          <w:rFonts w:ascii="CenturyOldStyleStd-Regular" w:hAnsi="CenturyOldStyleStd-Regular" w:cs="CenturyOldStyleStd-Regular"/>
          <w:sz w:val="21"/>
          <w:szCs w:val="21"/>
        </w:rPr>
        <w:t>) Change “The tender was decorated with” to “The decoration on the tender was”</w:t>
      </w:r>
    </w:p>
    <w:p w:rsidR="00ED773A" w:rsidRDefault="00ED773A" w:rsidP="00ED773A">
      <w:pPr>
        <w:autoSpaceDE w:val="0"/>
        <w:autoSpaceDN w:val="0"/>
        <w:adjustRightInd w:val="0"/>
        <w:spacing w:after="0" w:line="240" w:lineRule="auto"/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proofErr w:type="gramStart"/>
      <w:r>
        <w:rPr>
          <w:rFonts w:ascii="CenturyOldStyleStd-Regular-SC70" w:hAnsi="CenturyOldStyleStd-Regular-SC70" w:cs="CenturyOldStyleStd-Regular-SC70"/>
          <w:sz w:val="15"/>
          <w:szCs w:val="15"/>
        </w:rPr>
        <w:t>d</w:t>
      </w:r>
      <w:proofErr w:type="gramEnd"/>
      <w:r>
        <w:rPr>
          <w:rFonts w:ascii="CenturyOldStyleStd-Regular" w:hAnsi="CenturyOldStyleStd-Regular" w:cs="CenturyOldStyleStd-Regular"/>
          <w:sz w:val="21"/>
          <w:szCs w:val="21"/>
        </w:rPr>
        <w:t>) Begin with “Also Noteworthy,”</w:t>
      </w:r>
    </w:p>
    <w:p w:rsidR="00ED773A" w:rsidRDefault="00ED773A" w:rsidP="00ED773A">
      <w:pPr>
        <w:rPr>
          <w:rFonts w:ascii="CenturyOldStyleStd-Regular" w:hAnsi="CenturyOldStyleStd-Regular" w:cs="CenturyOldStyleStd-Regular"/>
          <w:sz w:val="21"/>
          <w:szCs w:val="21"/>
        </w:rPr>
      </w:pPr>
      <w:r>
        <w:rPr>
          <w:rFonts w:ascii="CenturyOldStyleStd-Regular" w:hAnsi="CenturyOldStyleStd-Regular" w:cs="CenturyOldStyleStd-Regular"/>
          <w:sz w:val="21"/>
          <w:szCs w:val="21"/>
        </w:rPr>
        <w:t>(</w:t>
      </w:r>
      <w:r>
        <w:rPr>
          <w:rFonts w:ascii="CenturyOldStyleStd-Regular-SC70" w:hAnsi="CenturyOldStyleStd-Regular-SC70" w:cs="CenturyOldStyleStd-Regular-SC70"/>
          <w:sz w:val="15"/>
          <w:szCs w:val="15"/>
        </w:rPr>
        <w:t>e</w:t>
      </w:r>
      <w:r>
        <w:rPr>
          <w:rFonts w:ascii="CenturyOldStyleStd-Regular" w:hAnsi="CenturyOldStyleStd-Regular" w:cs="CenturyOldStyleStd-Regular"/>
          <w:sz w:val="21"/>
          <w:szCs w:val="21"/>
        </w:rPr>
        <w:t>) Change “The tender was” to “The tender, in addition, was”</w:t>
      </w:r>
    </w:p>
    <w:p w:rsidR="006B5F26" w:rsidRDefault="006B5F26" w:rsidP="00ED773A"/>
    <w:sectPr w:rsidR="006B5F26" w:rsidSect="006B5F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OldStyleSt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OldStyleStd-Regular-SC7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OldStyleStd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126CE"/>
    <w:multiLevelType w:val="hybridMultilevel"/>
    <w:tmpl w:val="7B5E576A"/>
    <w:lvl w:ilvl="0" w:tplc="71B6D150">
      <w:start w:val="1"/>
      <w:numFmt w:val="decimal"/>
      <w:lvlText w:val="%1."/>
      <w:lvlJc w:val="left"/>
      <w:pPr>
        <w:ind w:left="720" w:hanging="360"/>
      </w:pPr>
      <w:rPr>
        <w:rFonts w:ascii="CenturyOldStyleStd-Regular" w:hAnsi="CenturyOldStyleStd-Regular" w:cs="CenturyOldStyleStd-Regular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95AEF"/>
    <w:multiLevelType w:val="hybridMultilevel"/>
    <w:tmpl w:val="2BF0E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773A"/>
    <w:rsid w:val="006B5F26"/>
    <w:rsid w:val="00764985"/>
    <w:rsid w:val="00ED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F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2014-02-11T22:10:00Z</dcterms:created>
  <dcterms:modified xsi:type="dcterms:W3CDTF">2014-02-11T22:30:00Z</dcterms:modified>
</cp:coreProperties>
</file>